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5F82" w14:textId="77777777" w:rsidR="00E6757A" w:rsidRDefault="00E6757A" w:rsidP="0000451B">
      <w:pPr>
        <w:jc w:val="center"/>
        <w:rPr>
          <w:rFonts w:ascii="Times New Roman" w:hAnsi="Times New Roman" w:cs="Times New Roman"/>
        </w:rPr>
      </w:pPr>
      <w:bookmarkStart w:id="0" w:name="_GoBack"/>
      <w:bookmarkEnd w:id="0"/>
    </w:p>
    <w:p w14:paraId="15DF4DB3" w14:textId="5229647C" w:rsidR="00A5192C" w:rsidRDefault="00ED3B25" w:rsidP="0000451B">
      <w:pPr>
        <w:jc w:val="center"/>
        <w:rPr>
          <w:rFonts w:ascii="Times New Roman" w:hAnsi="Times New Roman" w:cs="Times New Roman"/>
        </w:rPr>
      </w:pPr>
      <w:r>
        <w:rPr>
          <w:rFonts w:ascii="Times New Roman" w:hAnsi="Times New Roman" w:cs="Times New Roman"/>
        </w:rPr>
        <w:t>Comparative HW</w:t>
      </w:r>
      <w:r w:rsidR="0000451B">
        <w:rPr>
          <w:rFonts w:ascii="Times New Roman" w:hAnsi="Times New Roman" w:cs="Times New Roman"/>
        </w:rPr>
        <w:t xml:space="preserve"> 4: Comparing Women’s Movements</w:t>
      </w:r>
    </w:p>
    <w:p w14:paraId="5742F4BA" w14:textId="77777777" w:rsidR="00E6757A" w:rsidRDefault="00E6757A" w:rsidP="00E6757A">
      <w:pPr>
        <w:spacing w:line="480" w:lineRule="auto"/>
        <w:jc w:val="both"/>
        <w:rPr>
          <w:rFonts w:ascii="Times New Roman" w:hAnsi="Times New Roman" w:cs="Times New Roman"/>
        </w:rPr>
      </w:pPr>
    </w:p>
    <w:p w14:paraId="32B47E3B" w14:textId="7935FDCC" w:rsidR="00430F8D" w:rsidRDefault="004338F6" w:rsidP="00ED3B25">
      <w:pPr>
        <w:spacing w:line="480" w:lineRule="auto"/>
        <w:ind w:firstLine="720"/>
        <w:jc w:val="both"/>
        <w:rPr>
          <w:rFonts w:ascii="Times New Roman" w:hAnsi="Times New Roman" w:cs="Times New Roman"/>
        </w:rPr>
      </w:pPr>
      <w:r>
        <w:rPr>
          <w:rFonts w:ascii="Times New Roman" w:hAnsi="Times New Roman" w:cs="Times New Roman"/>
        </w:rPr>
        <w:t>A resource, as pertains to political mobilization and collective action, may be defined as “a new or reserve source of supply of support; a fresh or additional stock or store available at need; something in reserve or ready if n</w:t>
      </w:r>
      <w:r w:rsidR="00823EF6">
        <w:rPr>
          <w:rFonts w:ascii="Times New Roman" w:hAnsi="Times New Roman" w:cs="Times New Roman"/>
        </w:rPr>
        <w:t>eeded” (Edwards, McCarthy</w:t>
      </w:r>
      <w:r w:rsidR="001E2FFB">
        <w:rPr>
          <w:rFonts w:ascii="Times New Roman" w:hAnsi="Times New Roman" w:cs="Times New Roman"/>
        </w:rPr>
        <w:t>,</w:t>
      </w:r>
      <w:r w:rsidR="00823EF6">
        <w:rPr>
          <w:rFonts w:ascii="Times New Roman" w:hAnsi="Times New Roman" w:cs="Times New Roman"/>
        </w:rPr>
        <w:t xml:space="preserve"> 116). While the resources that enable the social movement organizations (SMOs) that drive social change to function are logically understood to include human time and effort, a clearer understanding of the individual relevance of resources requires greater specificity. </w:t>
      </w:r>
      <w:r w:rsidR="00D115A2">
        <w:rPr>
          <w:rFonts w:ascii="Times New Roman" w:hAnsi="Times New Roman" w:cs="Times New Roman"/>
        </w:rPr>
        <w:t xml:space="preserve">The resources that support SMOs can be classified under a “five-fold typology of moral, cultural, social-organizational, human, and material,” (Edwards, McCarthy, 117), overarching classifications that incorporate not only discretionary resources, but also more intangible resources, such as the tacit skill sets activists bring to their movements, or the </w:t>
      </w:r>
      <w:r w:rsidR="00430F8D">
        <w:rPr>
          <w:rFonts w:ascii="Times New Roman" w:hAnsi="Times New Roman" w:cs="Times New Roman"/>
        </w:rPr>
        <w:t xml:space="preserve">external moral support celebrities may extend. However, the key resource of any SMO is arguably its organizational structure. As the “mobilization of money and labor depends on the creation and establishment of movement structures,” (McCarthy, Zald, 1224), any efficacy resource that backs a SMO is determined by the strength of its organization. </w:t>
      </w:r>
    </w:p>
    <w:p w14:paraId="515B6BBC" w14:textId="77777777" w:rsidR="00430F8D" w:rsidRDefault="00430F8D" w:rsidP="00ED3B25">
      <w:pPr>
        <w:spacing w:line="480" w:lineRule="auto"/>
        <w:jc w:val="both"/>
        <w:rPr>
          <w:rFonts w:ascii="Times New Roman" w:hAnsi="Times New Roman" w:cs="Times New Roman"/>
        </w:rPr>
      </w:pPr>
    </w:p>
    <w:p w14:paraId="3B40DE05" w14:textId="0F4D51E6" w:rsidR="00D902BA" w:rsidRDefault="008E4870" w:rsidP="00ED3B25">
      <w:pPr>
        <w:spacing w:line="480" w:lineRule="auto"/>
        <w:ind w:firstLine="720"/>
        <w:jc w:val="both"/>
        <w:rPr>
          <w:rFonts w:ascii="Times New Roman" w:hAnsi="Times New Roman" w:cs="Times New Roman"/>
        </w:rPr>
      </w:pPr>
      <w:r>
        <w:rPr>
          <w:rFonts w:ascii="Times New Roman" w:hAnsi="Times New Roman" w:cs="Times New Roman"/>
        </w:rPr>
        <w:t>Women’s groups, as with most SMOs, have a variety of resources gained through several different methods of appropriation across t</w:t>
      </w:r>
      <w:r w:rsidR="0000451B">
        <w:rPr>
          <w:rFonts w:ascii="Times New Roman" w:hAnsi="Times New Roman" w:cs="Times New Roman"/>
        </w:rPr>
        <w:t>he five types</w:t>
      </w:r>
      <w:r w:rsidR="00D902BA">
        <w:rPr>
          <w:rFonts w:ascii="Times New Roman" w:hAnsi="Times New Roman" w:cs="Times New Roman"/>
        </w:rPr>
        <w:t xml:space="preserve"> (</w:t>
      </w:r>
      <w:r w:rsidR="00367322">
        <w:rPr>
          <w:rFonts w:ascii="Times New Roman" w:hAnsi="Times New Roman" w:cs="Times New Roman"/>
        </w:rPr>
        <w:t xml:space="preserve">see </w:t>
      </w:r>
      <w:r w:rsidR="0000451B">
        <w:rPr>
          <w:rFonts w:ascii="Times New Roman" w:hAnsi="Times New Roman" w:cs="Times New Roman"/>
        </w:rPr>
        <w:t>Fig 1).</w:t>
      </w:r>
      <w:r w:rsidR="00D902BA">
        <w:rPr>
          <w:rFonts w:ascii="Times New Roman" w:hAnsi="Times New Roman" w:cs="Times New Roman"/>
        </w:rPr>
        <w:t xml:space="preserve"> Just as important, however, is the relationship such a group has with the media, government, or other parties and SMOs, especially when contrasting movements in different states.</w:t>
      </w:r>
      <w:r w:rsidR="00D115A2">
        <w:rPr>
          <w:rFonts w:ascii="Times New Roman" w:hAnsi="Times New Roman" w:cs="Times New Roman"/>
        </w:rPr>
        <w:t xml:space="preserve"> </w:t>
      </w:r>
      <w:r w:rsidR="00D902BA">
        <w:rPr>
          <w:rFonts w:ascii="Times New Roman" w:hAnsi="Times New Roman" w:cs="Times New Roman"/>
        </w:rPr>
        <w:t xml:space="preserve">The regime type of a state and the level of liberalization is a key factor in determining the resources available to the movement, and freedom by which the movement can operate. </w:t>
      </w:r>
    </w:p>
    <w:p w14:paraId="06CE38E2" w14:textId="77777777" w:rsidR="0000451B" w:rsidRDefault="0000451B" w:rsidP="00ED3B25">
      <w:pPr>
        <w:spacing w:line="480" w:lineRule="auto"/>
        <w:jc w:val="both"/>
        <w:rPr>
          <w:rFonts w:ascii="Times New Roman" w:hAnsi="Times New Roman" w:cs="Times New Roman"/>
        </w:rPr>
      </w:pPr>
    </w:p>
    <w:p w14:paraId="69896D7E" w14:textId="2F145C20" w:rsidR="0000451B" w:rsidRPr="0000451B" w:rsidRDefault="0000451B" w:rsidP="00ED3B25">
      <w:pPr>
        <w:pStyle w:val="Caption"/>
        <w:keepNext/>
        <w:spacing w:line="480" w:lineRule="auto"/>
        <w:jc w:val="both"/>
        <w:rPr>
          <w:rFonts w:ascii="Times New Roman" w:hAnsi="Times New Roman" w:cs="Times New Roman"/>
          <w:color w:val="auto"/>
        </w:rPr>
      </w:pPr>
      <w:r w:rsidRPr="0000451B">
        <w:rPr>
          <w:rFonts w:ascii="Times New Roman" w:hAnsi="Times New Roman" w:cs="Times New Roman"/>
          <w:color w:val="auto"/>
        </w:rPr>
        <w:lastRenderedPageBreak/>
        <w:t xml:space="preserve">Figure </w:t>
      </w:r>
      <w:r w:rsidR="00367322">
        <w:rPr>
          <w:rFonts w:ascii="Times New Roman" w:hAnsi="Times New Roman" w:cs="Times New Roman"/>
          <w:color w:val="auto"/>
        </w:rPr>
        <w:fldChar w:fldCharType="begin"/>
      </w:r>
      <w:r w:rsidR="00367322">
        <w:rPr>
          <w:rFonts w:ascii="Times New Roman" w:hAnsi="Times New Roman" w:cs="Times New Roman"/>
          <w:color w:val="auto"/>
        </w:rPr>
        <w:instrText xml:space="preserve"> SEQ Figure \* ARABIC </w:instrText>
      </w:r>
      <w:r w:rsidR="00367322">
        <w:rPr>
          <w:rFonts w:ascii="Times New Roman" w:hAnsi="Times New Roman" w:cs="Times New Roman"/>
          <w:color w:val="auto"/>
        </w:rPr>
        <w:fldChar w:fldCharType="separate"/>
      </w:r>
      <w:r w:rsidR="005E1663">
        <w:rPr>
          <w:rFonts w:ascii="Times New Roman" w:hAnsi="Times New Roman" w:cs="Times New Roman"/>
          <w:noProof/>
          <w:color w:val="auto"/>
        </w:rPr>
        <w:t>1</w:t>
      </w:r>
      <w:r w:rsidR="00367322">
        <w:rPr>
          <w:rFonts w:ascii="Times New Roman" w:hAnsi="Times New Roman" w:cs="Times New Roman"/>
          <w:color w:val="auto"/>
        </w:rPr>
        <w:fldChar w:fldCharType="end"/>
      </w:r>
    </w:p>
    <w:p w14:paraId="3068D832" w14:textId="06423F72" w:rsidR="0000451B" w:rsidRDefault="0000451B" w:rsidP="00ED3B25">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3688BC73" wp14:editId="73F040B9">
            <wp:extent cx="5486400" cy="3083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4 at 4.53.36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083560"/>
                    </a:xfrm>
                    <a:prstGeom prst="rect">
                      <a:avLst/>
                    </a:prstGeom>
                  </pic:spPr>
                </pic:pic>
              </a:graphicData>
            </a:graphic>
          </wp:inline>
        </w:drawing>
      </w:r>
    </w:p>
    <w:p w14:paraId="733BF399" w14:textId="77777777" w:rsidR="00367322" w:rsidRDefault="0000451B" w:rsidP="00367322">
      <w:pPr>
        <w:keepNext/>
        <w:spacing w:line="480" w:lineRule="auto"/>
        <w:jc w:val="both"/>
      </w:pPr>
      <w:r>
        <w:rPr>
          <w:rFonts w:ascii="Times New Roman" w:hAnsi="Times New Roman" w:cs="Times New Roman"/>
          <w:noProof/>
        </w:rPr>
        <w:drawing>
          <wp:inline distT="0" distB="0" distL="0" distR="0" wp14:anchorId="37795D8A" wp14:editId="3221D4DE">
            <wp:extent cx="5486400" cy="2378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4 at 4.53.56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378710"/>
                    </a:xfrm>
                    <a:prstGeom prst="rect">
                      <a:avLst/>
                    </a:prstGeom>
                  </pic:spPr>
                </pic:pic>
              </a:graphicData>
            </a:graphic>
          </wp:inline>
        </w:drawing>
      </w:r>
    </w:p>
    <w:p w14:paraId="62EFF3DD" w14:textId="79990F09" w:rsidR="0000451B" w:rsidRPr="00890BC1" w:rsidRDefault="00367322" w:rsidP="00367322">
      <w:pPr>
        <w:pStyle w:val="Caption"/>
        <w:jc w:val="both"/>
        <w:rPr>
          <w:rFonts w:ascii="Times New Roman" w:hAnsi="Times New Roman" w:cs="Times New Roman"/>
          <w:color w:val="auto"/>
        </w:rPr>
      </w:pPr>
      <w:r>
        <w:rPr>
          <w:rFonts w:ascii="Times New Roman" w:hAnsi="Times New Roman" w:cs="Times New Roman"/>
          <w:color w:val="auto"/>
        </w:rPr>
        <w:t>Source:</w:t>
      </w:r>
      <w:r w:rsidR="00890BC1">
        <w:rPr>
          <w:rFonts w:ascii="Times New Roman" w:hAnsi="Times New Roman" w:cs="Times New Roman"/>
          <w:color w:val="auto"/>
        </w:rPr>
        <w:t xml:space="preserve"> Means of Social Movement, “Resources and Social Movement Mobilization”, </w:t>
      </w:r>
      <w:r w:rsidR="00890BC1">
        <w:rPr>
          <w:rFonts w:ascii="Times New Roman" w:hAnsi="Times New Roman" w:cs="Times New Roman"/>
          <w:i/>
          <w:color w:val="auto"/>
        </w:rPr>
        <w:t>The Blackwell Companion to Social Movements</w:t>
      </w:r>
      <w:r w:rsidR="00890BC1">
        <w:rPr>
          <w:rFonts w:ascii="Times New Roman" w:hAnsi="Times New Roman" w:cs="Times New Roman"/>
          <w:color w:val="auto"/>
        </w:rPr>
        <w:t>, Apr 2014, Web, Table 6.1.</w:t>
      </w:r>
    </w:p>
    <w:p w14:paraId="42922DAC" w14:textId="77777777" w:rsidR="00D902BA" w:rsidRDefault="00D902BA" w:rsidP="00ED3B25">
      <w:pPr>
        <w:spacing w:line="480" w:lineRule="auto"/>
        <w:jc w:val="both"/>
        <w:rPr>
          <w:rFonts w:ascii="Times New Roman" w:hAnsi="Times New Roman" w:cs="Times New Roman"/>
        </w:rPr>
      </w:pPr>
    </w:p>
    <w:p w14:paraId="7CEF00BD" w14:textId="77777777" w:rsidR="005323A2" w:rsidRDefault="00D902BA" w:rsidP="00ED3B25">
      <w:pPr>
        <w:spacing w:line="480" w:lineRule="auto"/>
        <w:ind w:firstLine="720"/>
        <w:jc w:val="both"/>
        <w:rPr>
          <w:rFonts w:ascii="Times New Roman" w:hAnsi="Times New Roman" w:cs="Times New Roman"/>
        </w:rPr>
      </w:pPr>
      <w:r>
        <w:rPr>
          <w:rFonts w:ascii="Times New Roman" w:hAnsi="Times New Roman" w:cs="Times New Roman"/>
        </w:rPr>
        <w:t xml:space="preserve">In each of the six focus countries </w:t>
      </w:r>
      <w:r w:rsidR="005323A2">
        <w:rPr>
          <w:rFonts w:ascii="Times New Roman" w:hAnsi="Times New Roman" w:cs="Times New Roman"/>
        </w:rPr>
        <w:t xml:space="preserve">–the United States, Germany, India, Myanmar, Russia, and China – a range of resources supports women’s groups. The freedoms the state allows or the restrictions the state imposes upon SMOs are crucial to each individual movement. </w:t>
      </w:r>
    </w:p>
    <w:p w14:paraId="77FC4A05" w14:textId="77777777" w:rsidR="005323A2" w:rsidRDefault="005323A2" w:rsidP="00ED3B25">
      <w:pPr>
        <w:spacing w:line="480" w:lineRule="auto"/>
        <w:jc w:val="both"/>
        <w:rPr>
          <w:rFonts w:ascii="Times New Roman" w:hAnsi="Times New Roman" w:cs="Times New Roman"/>
        </w:rPr>
      </w:pPr>
    </w:p>
    <w:p w14:paraId="24B0894B" w14:textId="77777777" w:rsidR="00F9736B" w:rsidRDefault="005323A2" w:rsidP="00ED3B25">
      <w:pPr>
        <w:spacing w:line="480" w:lineRule="auto"/>
        <w:ind w:firstLine="720"/>
        <w:jc w:val="both"/>
        <w:rPr>
          <w:rFonts w:ascii="Times New Roman" w:hAnsi="Times New Roman" w:cs="Times New Roman"/>
        </w:rPr>
      </w:pPr>
      <w:r>
        <w:rPr>
          <w:rFonts w:ascii="Times New Roman" w:hAnsi="Times New Roman" w:cs="Times New Roman"/>
        </w:rPr>
        <w:t xml:space="preserve">Both the United States and Germany, as liberal democracies, constitutionally protect liberties such as freedom of expression and peaceful assembly, </w:t>
      </w:r>
      <w:r w:rsidR="00421189">
        <w:rPr>
          <w:rFonts w:ascii="Times New Roman" w:hAnsi="Times New Roman" w:cs="Times New Roman"/>
        </w:rPr>
        <w:t>allowing for the secure development of SMOs. Both have</w:t>
      </w:r>
      <w:r w:rsidR="00F9736B">
        <w:rPr>
          <w:rFonts w:ascii="Times New Roman" w:hAnsi="Times New Roman" w:cs="Times New Roman"/>
        </w:rPr>
        <w:t xml:space="preserve"> Freedom House scores of 1.0, indicating the highest level of freedom, which is calculated by combining a score for both civil liberties and political rights. Women’s movements in both states have access to a free media and uncensored internet. Women’s rights are </w:t>
      </w:r>
      <w:r w:rsidR="00D30D0A">
        <w:rPr>
          <w:rFonts w:ascii="Times New Roman" w:hAnsi="Times New Roman" w:cs="Times New Roman"/>
        </w:rPr>
        <w:t>well protected</w:t>
      </w:r>
      <w:r w:rsidR="00F9736B">
        <w:rPr>
          <w:rFonts w:ascii="Times New Roman" w:hAnsi="Times New Roman" w:cs="Times New Roman"/>
        </w:rPr>
        <w:t xml:space="preserve"> by law, and are effectively enforced by the judiciary.  </w:t>
      </w:r>
    </w:p>
    <w:p w14:paraId="238FD63E" w14:textId="77777777" w:rsidR="00F9736B" w:rsidRDefault="00F9736B" w:rsidP="00ED3B25">
      <w:pPr>
        <w:spacing w:line="480" w:lineRule="auto"/>
        <w:jc w:val="both"/>
        <w:rPr>
          <w:rFonts w:ascii="Times New Roman" w:hAnsi="Times New Roman" w:cs="Times New Roman"/>
        </w:rPr>
      </w:pPr>
    </w:p>
    <w:p w14:paraId="601AD3C0" w14:textId="77777777" w:rsidR="00D30D0A" w:rsidRDefault="00D30D0A" w:rsidP="00ED3B25">
      <w:pPr>
        <w:spacing w:line="480" w:lineRule="auto"/>
        <w:ind w:firstLine="720"/>
        <w:jc w:val="both"/>
        <w:rPr>
          <w:rFonts w:ascii="Times New Roman" w:hAnsi="Times New Roman" w:cs="Times New Roman"/>
        </w:rPr>
      </w:pPr>
      <w:r>
        <w:rPr>
          <w:rFonts w:ascii="Times New Roman" w:hAnsi="Times New Roman" w:cs="Times New Roman"/>
        </w:rPr>
        <w:t>India has a Freedom House score of 2.5, but is yet a democracy operating on mostly liberal values. There are some restrictions on assembly, and foreign funding to non-government organizations can be denied. India’s media</w:t>
      </w:r>
      <w:r w:rsidR="00F9736B">
        <w:rPr>
          <w:rFonts w:ascii="Times New Roman" w:hAnsi="Times New Roman" w:cs="Times New Roman"/>
        </w:rPr>
        <w:t xml:space="preserve"> </w:t>
      </w:r>
      <w:r>
        <w:rPr>
          <w:rFonts w:ascii="Times New Roman" w:hAnsi="Times New Roman" w:cs="Times New Roman"/>
        </w:rPr>
        <w:t>has more constrained than those of the United States or Germany, but the internet is mostly unrestricted.</w:t>
      </w:r>
      <w:r w:rsidR="00F9736B">
        <w:rPr>
          <w:rFonts w:ascii="Times New Roman" w:hAnsi="Times New Roman" w:cs="Times New Roman"/>
        </w:rPr>
        <w:t xml:space="preserve"> </w:t>
      </w:r>
      <w:r>
        <w:rPr>
          <w:rFonts w:ascii="Times New Roman" w:hAnsi="Times New Roman" w:cs="Times New Roman"/>
        </w:rPr>
        <w:t>The criminal justice system is flawed, failing to “provide equal protection to marginalized groups,” (Freedom House) including women.</w:t>
      </w:r>
    </w:p>
    <w:p w14:paraId="003A54AE" w14:textId="77777777" w:rsidR="00D30D0A" w:rsidRDefault="00D30D0A" w:rsidP="00ED3B25">
      <w:pPr>
        <w:spacing w:line="480" w:lineRule="auto"/>
        <w:jc w:val="both"/>
        <w:rPr>
          <w:rFonts w:ascii="Times New Roman" w:hAnsi="Times New Roman" w:cs="Times New Roman"/>
        </w:rPr>
      </w:pPr>
    </w:p>
    <w:p w14:paraId="58CF4836" w14:textId="0BA50D00" w:rsidR="00A5192C" w:rsidRDefault="00D1669D" w:rsidP="00ED3B25">
      <w:pPr>
        <w:spacing w:line="480" w:lineRule="auto"/>
        <w:ind w:firstLine="720"/>
        <w:jc w:val="both"/>
        <w:rPr>
          <w:rFonts w:ascii="Times New Roman" w:hAnsi="Times New Roman" w:cs="Times New Roman"/>
        </w:rPr>
      </w:pPr>
      <w:r>
        <w:rPr>
          <w:rFonts w:ascii="Times New Roman" w:hAnsi="Times New Roman" w:cs="Times New Roman"/>
        </w:rPr>
        <w:t>Of the semi-authoritarian regimes, both Russia and Myanmar have Freedom House scores of 5.5, and are deemed “not free”. Russia has “consistently reduced the space for freedom of assembly and association”</w:t>
      </w:r>
      <w:r w:rsidR="00614146">
        <w:rPr>
          <w:rFonts w:ascii="Times New Roman" w:hAnsi="Times New Roman" w:cs="Times New Roman"/>
        </w:rPr>
        <w:t xml:space="preserve"> (Freedom House)</w:t>
      </w:r>
      <w:r>
        <w:rPr>
          <w:rFonts w:ascii="Times New Roman" w:hAnsi="Times New Roman" w:cs="Times New Roman"/>
        </w:rPr>
        <w:t xml:space="preserve"> and both states require organizations to gain some form of permission before</w:t>
      </w:r>
      <w:r w:rsidR="00D115A2">
        <w:rPr>
          <w:rFonts w:ascii="Times New Roman" w:hAnsi="Times New Roman" w:cs="Times New Roman"/>
        </w:rPr>
        <w:t xml:space="preserve"> </w:t>
      </w:r>
      <w:r>
        <w:rPr>
          <w:rFonts w:ascii="Times New Roman" w:hAnsi="Times New Roman" w:cs="Times New Roman"/>
        </w:rPr>
        <w:t>planning a demonstration. In Myanmar this is explicit in the legislation of the Peaceful Assembly and Peaceful Procession Law, whereas in Russia, “vague laws on extremism grant the authorities great discretion to crack down on any speech, organization, or activity that lacks official sup</w:t>
      </w:r>
      <w:r w:rsidR="00987BED">
        <w:rPr>
          <w:rFonts w:ascii="Times New Roman" w:hAnsi="Times New Roman" w:cs="Times New Roman"/>
        </w:rPr>
        <w:t>port,” (Freedom House). Both states have restricted media and internet censorship. In Russia, “women have particular difficulty achieving political power,” (Freedom House) whereas in Myanmar, although women are underrepresented in civil service, laws have traditionally existed for the protection of women.</w:t>
      </w:r>
      <w:r w:rsidR="00823EF6">
        <w:rPr>
          <w:rFonts w:ascii="Times New Roman" w:hAnsi="Times New Roman" w:cs="Times New Roman"/>
        </w:rPr>
        <w:t xml:space="preserve"> </w:t>
      </w:r>
    </w:p>
    <w:p w14:paraId="231237E1" w14:textId="77777777" w:rsidR="00987BED" w:rsidRDefault="00987BED" w:rsidP="00ED3B25">
      <w:pPr>
        <w:spacing w:line="480" w:lineRule="auto"/>
        <w:jc w:val="both"/>
        <w:rPr>
          <w:rFonts w:ascii="Times New Roman" w:hAnsi="Times New Roman" w:cs="Times New Roman"/>
        </w:rPr>
      </w:pPr>
    </w:p>
    <w:p w14:paraId="0CF6890F" w14:textId="0A2F6987" w:rsidR="00987BED" w:rsidRDefault="00987BED" w:rsidP="00ED3B25">
      <w:pPr>
        <w:spacing w:line="480" w:lineRule="auto"/>
        <w:ind w:firstLine="720"/>
        <w:jc w:val="both"/>
        <w:rPr>
          <w:rFonts w:ascii="Times New Roman" w:hAnsi="Times New Roman" w:cs="Times New Roman"/>
        </w:rPr>
      </w:pPr>
      <w:r>
        <w:rPr>
          <w:rFonts w:ascii="Times New Roman" w:hAnsi="Times New Roman" w:cs="Times New Roman"/>
        </w:rPr>
        <w:t xml:space="preserve">The resources available to SMOs are most limited in the last focus country, China. The People’s Republic of China (PRC) is the least free of the six, with a Freedom House score of 6.5, close to the lowest possible score of 7. In China, SMOs or indeed any kind of </w:t>
      </w:r>
      <w:r w:rsidR="00A92233">
        <w:rPr>
          <w:rFonts w:ascii="Times New Roman" w:hAnsi="Times New Roman" w:cs="Times New Roman"/>
        </w:rPr>
        <w:t xml:space="preserve">protest movement are under the strictest of regulations. The Chinese Communist Party </w:t>
      </w:r>
      <w:r w:rsidR="00614146">
        <w:rPr>
          <w:rFonts w:ascii="Times New Roman" w:hAnsi="Times New Roman" w:cs="Times New Roman"/>
        </w:rPr>
        <w:t xml:space="preserve">enforces its single-party dominance of the government without toleration of “any kind of organized or independent political parties” (Freedom House). The Chinese control of the media </w:t>
      </w:r>
      <w:r w:rsidR="00151AB7">
        <w:rPr>
          <w:rFonts w:ascii="Times New Roman" w:hAnsi="Times New Roman" w:cs="Times New Roman"/>
        </w:rPr>
        <w:t xml:space="preserve">and internet </w:t>
      </w:r>
      <w:r w:rsidR="00614146">
        <w:rPr>
          <w:rFonts w:ascii="Times New Roman" w:hAnsi="Times New Roman" w:cs="Times New Roman"/>
        </w:rPr>
        <w:t>is incredibly restrictive. For example, the Central Propaganda Department of the PRC regularly issues directives to the media instructing what can and cannot be mentioned or emphasized in media releases (China Digital Times</w:t>
      </w:r>
      <w:r w:rsidR="00151AB7">
        <w:rPr>
          <w:rFonts w:ascii="Times New Roman" w:hAnsi="Times New Roman" w:cs="Times New Roman"/>
        </w:rPr>
        <w:t>). SMOs require governmental permission to organi</w:t>
      </w:r>
      <w:r w:rsidR="00F32949">
        <w:rPr>
          <w:rFonts w:ascii="Times New Roman" w:hAnsi="Times New Roman" w:cs="Times New Roman"/>
        </w:rPr>
        <w:t>ze or risk criminal punishment (Perry, 14).</w:t>
      </w:r>
    </w:p>
    <w:p w14:paraId="5846D28E" w14:textId="77777777" w:rsidR="0030527A" w:rsidRDefault="0030527A" w:rsidP="00ED3B25">
      <w:pPr>
        <w:spacing w:line="480" w:lineRule="auto"/>
        <w:jc w:val="both"/>
        <w:rPr>
          <w:rFonts w:ascii="Times New Roman" w:hAnsi="Times New Roman" w:cs="Times New Roman"/>
        </w:rPr>
      </w:pPr>
    </w:p>
    <w:p w14:paraId="2AFF532C" w14:textId="64C509C4" w:rsidR="008A51C4" w:rsidRDefault="0030527A" w:rsidP="00ED3B25">
      <w:pPr>
        <w:spacing w:line="480" w:lineRule="auto"/>
        <w:ind w:firstLine="720"/>
        <w:jc w:val="both"/>
        <w:rPr>
          <w:rFonts w:ascii="Times New Roman" w:hAnsi="Times New Roman" w:cs="Times New Roman"/>
        </w:rPr>
      </w:pPr>
      <w:r>
        <w:rPr>
          <w:rFonts w:ascii="Times New Roman" w:hAnsi="Times New Roman" w:cs="Times New Roman"/>
        </w:rPr>
        <w:t>McAdam defines political opportunity structure as “any event or broad social process that serves to undermine the calculations and assumptions an which the politi</w:t>
      </w:r>
      <w:r w:rsidR="00634AA9">
        <w:rPr>
          <w:rFonts w:ascii="Times New Roman" w:hAnsi="Times New Roman" w:cs="Times New Roman"/>
        </w:rPr>
        <w:t>cal establishment is structured</w:t>
      </w:r>
      <w:r>
        <w:rPr>
          <w:rFonts w:ascii="Times New Roman" w:hAnsi="Times New Roman" w:cs="Times New Roman"/>
        </w:rPr>
        <w:t>”</w:t>
      </w:r>
      <w:r w:rsidR="00634AA9">
        <w:rPr>
          <w:rFonts w:ascii="Times New Roman" w:hAnsi="Times New Roman" w:cs="Times New Roman"/>
        </w:rPr>
        <w:t xml:space="preserve"> (Heuer).</w:t>
      </w:r>
      <w:r>
        <w:rPr>
          <w:rFonts w:ascii="Times New Roman" w:hAnsi="Times New Roman" w:cs="Times New Roman"/>
        </w:rPr>
        <w:t xml:space="preserve"> A structure that reflects opportunity for an SMO is characterized by increased regime openness, elite fragmentation, </w:t>
      </w:r>
      <w:r w:rsidR="00ED3B25">
        <w:rPr>
          <w:rFonts w:ascii="Times New Roman" w:hAnsi="Times New Roman" w:cs="Times New Roman"/>
        </w:rPr>
        <w:t>and the</w:t>
      </w:r>
      <w:r>
        <w:rPr>
          <w:rFonts w:ascii="Times New Roman" w:hAnsi="Times New Roman" w:cs="Times New Roman"/>
        </w:rPr>
        <w:t xml:space="preserve"> presence of influential allies, potentially foreign entities, or a reduction in the repressive capacity of the state. Of the six focus countries, the United States and Germany are the most open to the mobilization of women’s movements, followed by India, Myanmar, Russia, and China respectively. Interestingly, however, </w:t>
      </w:r>
      <w:r w:rsidR="00BB2FBA">
        <w:rPr>
          <w:rFonts w:ascii="Times New Roman" w:hAnsi="Times New Roman" w:cs="Times New Roman"/>
        </w:rPr>
        <w:t>the Social Progress Imperative Index, ranks the countries in a startlingly different order for the opportunity component of “women treated with respect”. The Index ranks the states as, from highest to lowest, China, Germany, the United States, India, and Russia (Myanmar is not available in the results)</w:t>
      </w:r>
      <w:r w:rsidR="0000451B">
        <w:rPr>
          <w:rFonts w:ascii="Times New Roman" w:hAnsi="Times New Roman" w:cs="Times New Roman"/>
        </w:rPr>
        <w:t xml:space="preserve"> (</w:t>
      </w:r>
      <w:r w:rsidR="00367322">
        <w:rPr>
          <w:rFonts w:ascii="Times New Roman" w:hAnsi="Times New Roman" w:cs="Times New Roman"/>
        </w:rPr>
        <w:t xml:space="preserve">see </w:t>
      </w:r>
      <w:r w:rsidR="0000451B">
        <w:rPr>
          <w:rFonts w:ascii="Times New Roman" w:hAnsi="Times New Roman" w:cs="Times New Roman"/>
        </w:rPr>
        <w:t>Fig. 2</w:t>
      </w:r>
      <w:r w:rsidR="004B5A69">
        <w:rPr>
          <w:rFonts w:ascii="Times New Roman" w:hAnsi="Times New Roman" w:cs="Times New Roman"/>
        </w:rPr>
        <w:t>)</w:t>
      </w:r>
      <w:r w:rsidR="00BB2FBA">
        <w:rPr>
          <w:rFonts w:ascii="Times New Roman" w:hAnsi="Times New Roman" w:cs="Times New Roman"/>
        </w:rPr>
        <w:t xml:space="preserve">. </w:t>
      </w:r>
      <w:r w:rsidR="008A51C4">
        <w:rPr>
          <w:rFonts w:ascii="Times New Roman" w:hAnsi="Times New Roman" w:cs="Times New Roman"/>
        </w:rPr>
        <w:t>Despite this specific regard to the attitude towards women, the general ability of SMOs to influence politics in each state remains largely determined by its regime type.</w:t>
      </w:r>
    </w:p>
    <w:p w14:paraId="616E2B60" w14:textId="77777777" w:rsidR="004B5A69" w:rsidRDefault="004B5A69" w:rsidP="00ED3B25">
      <w:pPr>
        <w:spacing w:line="480" w:lineRule="auto"/>
        <w:jc w:val="both"/>
        <w:rPr>
          <w:rFonts w:ascii="Times New Roman" w:hAnsi="Times New Roman" w:cs="Times New Roman"/>
        </w:rPr>
      </w:pPr>
    </w:p>
    <w:p w14:paraId="3C1B61F1" w14:textId="37490A48" w:rsidR="004B5A69" w:rsidRPr="004B5A69" w:rsidRDefault="00634AA9" w:rsidP="00ED3B25">
      <w:pPr>
        <w:pStyle w:val="Caption"/>
        <w:keepNext/>
        <w:spacing w:line="480" w:lineRule="auto"/>
        <w:jc w:val="both"/>
        <w:rPr>
          <w:rFonts w:ascii="Times New Roman" w:hAnsi="Times New Roman" w:cs="Times New Roman"/>
          <w:color w:val="auto"/>
        </w:rPr>
      </w:pPr>
      <w:r>
        <w:rPr>
          <w:rFonts w:ascii="Times New Roman" w:hAnsi="Times New Roman" w:cs="Times New Roman"/>
          <w:color w:val="auto"/>
        </w:rPr>
        <w:t>Figure 2</w:t>
      </w:r>
    </w:p>
    <w:p w14:paraId="739ECE42" w14:textId="77777777" w:rsidR="00634AA9" w:rsidRDefault="004B5A69" w:rsidP="00634AA9">
      <w:pPr>
        <w:keepNext/>
        <w:spacing w:line="480" w:lineRule="auto"/>
        <w:jc w:val="both"/>
      </w:pPr>
      <w:r>
        <w:rPr>
          <w:rFonts w:ascii="Times New Roman" w:hAnsi="Times New Roman" w:cs="Times New Roman"/>
          <w:noProof/>
        </w:rPr>
        <w:drawing>
          <wp:inline distT="0" distB="0" distL="0" distR="0" wp14:anchorId="28392892" wp14:editId="3A35CCED">
            <wp:extent cx="5486400" cy="518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4 at 1.24.51 A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5183505"/>
                    </a:xfrm>
                    <a:prstGeom prst="rect">
                      <a:avLst/>
                    </a:prstGeom>
                  </pic:spPr>
                </pic:pic>
              </a:graphicData>
            </a:graphic>
          </wp:inline>
        </w:drawing>
      </w:r>
    </w:p>
    <w:p w14:paraId="5A82E574" w14:textId="6EDBDABD" w:rsidR="004B5A69" w:rsidRPr="005E1663" w:rsidRDefault="00634AA9" w:rsidP="00634AA9">
      <w:pPr>
        <w:pStyle w:val="Caption"/>
        <w:jc w:val="both"/>
        <w:rPr>
          <w:rFonts w:ascii="Times New Roman" w:hAnsi="Times New Roman" w:cs="Times New Roman"/>
          <w:color w:val="auto"/>
        </w:rPr>
      </w:pPr>
      <w:r>
        <w:rPr>
          <w:rFonts w:ascii="Times New Roman" w:hAnsi="Times New Roman" w:cs="Times New Roman"/>
          <w:color w:val="auto"/>
        </w:rPr>
        <w:t>Source: India, China, Russia, United States, Germany com</w:t>
      </w:r>
      <w:r w:rsidR="005E1663">
        <w:rPr>
          <w:rFonts w:ascii="Times New Roman" w:hAnsi="Times New Roman" w:cs="Times New Roman"/>
          <w:color w:val="auto"/>
        </w:rPr>
        <w:t>parison chart, Opportunity Dime</w:t>
      </w:r>
      <w:r>
        <w:rPr>
          <w:rFonts w:ascii="Times New Roman" w:hAnsi="Times New Roman" w:cs="Times New Roman"/>
          <w:color w:val="auto"/>
        </w:rPr>
        <w:t>nsion</w:t>
      </w:r>
      <w:r w:rsidR="005E1663">
        <w:rPr>
          <w:rFonts w:ascii="Times New Roman" w:hAnsi="Times New Roman" w:cs="Times New Roman"/>
          <w:color w:val="auto"/>
        </w:rPr>
        <w:t xml:space="preserve">. </w:t>
      </w:r>
      <w:r w:rsidR="005E1663">
        <w:rPr>
          <w:rFonts w:ascii="Times New Roman" w:hAnsi="Times New Roman" w:cs="Times New Roman"/>
          <w:i/>
          <w:color w:val="auto"/>
        </w:rPr>
        <w:t xml:space="preserve">Social Progress Index. </w:t>
      </w:r>
      <w:r w:rsidR="005E1663">
        <w:rPr>
          <w:rFonts w:ascii="Times New Roman" w:hAnsi="Times New Roman" w:cs="Times New Roman"/>
          <w:color w:val="auto"/>
        </w:rPr>
        <w:t>Apr 2014, Web, Performance Chart.</w:t>
      </w:r>
    </w:p>
    <w:p w14:paraId="02DE928C" w14:textId="77777777" w:rsidR="008A51C4" w:rsidRDefault="008A51C4" w:rsidP="00ED3B25">
      <w:pPr>
        <w:spacing w:line="480" w:lineRule="auto"/>
        <w:jc w:val="both"/>
        <w:rPr>
          <w:rFonts w:ascii="Times New Roman" w:hAnsi="Times New Roman" w:cs="Times New Roman"/>
        </w:rPr>
      </w:pPr>
    </w:p>
    <w:p w14:paraId="475CFA88" w14:textId="77777777" w:rsidR="008A51C4" w:rsidRDefault="008A51C4" w:rsidP="00ED3B25">
      <w:pPr>
        <w:spacing w:line="480" w:lineRule="auto"/>
        <w:ind w:firstLine="720"/>
        <w:jc w:val="both"/>
        <w:rPr>
          <w:rFonts w:ascii="Times New Roman" w:hAnsi="Times New Roman" w:cs="Times New Roman"/>
        </w:rPr>
      </w:pPr>
      <w:r>
        <w:rPr>
          <w:rFonts w:ascii="Times New Roman" w:hAnsi="Times New Roman" w:cs="Times New Roman"/>
        </w:rPr>
        <w:t>Following this logic, women’s movements are most likely to face repression under the authoritarian regimes in Russia, China, and Myanmar. Women’s movements in India are less likely to face repression, but are will have to work harder to mobilize and influence politics than movements in the United States and Germany.</w:t>
      </w:r>
    </w:p>
    <w:p w14:paraId="195FE5D6" w14:textId="77777777" w:rsidR="008A51C4" w:rsidRDefault="008A51C4" w:rsidP="00ED3B25">
      <w:pPr>
        <w:spacing w:line="480" w:lineRule="auto"/>
        <w:jc w:val="both"/>
        <w:rPr>
          <w:rFonts w:ascii="Times New Roman" w:hAnsi="Times New Roman" w:cs="Times New Roman"/>
        </w:rPr>
      </w:pPr>
    </w:p>
    <w:p w14:paraId="30087637" w14:textId="2B986CAF" w:rsidR="0030527A" w:rsidRDefault="008A51C4" w:rsidP="00ED3B25">
      <w:pPr>
        <w:spacing w:line="480" w:lineRule="auto"/>
        <w:ind w:firstLine="720"/>
        <w:jc w:val="both"/>
        <w:rPr>
          <w:rFonts w:ascii="Times New Roman" w:hAnsi="Times New Roman" w:cs="Times New Roman"/>
        </w:rPr>
      </w:pPr>
      <w:r>
        <w:rPr>
          <w:rFonts w:ascii="Times New Roman" w:hAnsi="Times New Roman" w:cs="Times New Roman"/>
        </w:rPr>
        <w:t>Women’s movements are more likely to succeed in the more liberalized states</w:t>
      </w:r>
      <w:r w:rsidR="00BB2FBA">
        <w:rPr>
          <w:rFonts w:ascii="Times New Roman" w:hAnsi="Times New Roman" w:cs="Times New Roman"/>
        </w:rPr>
        <w:t xml:space="preserve"> </w:t>
      </w:r>
      <w:r>
        <w:rPr>
          <w:rFonts w:ascii="Times New Roman" w:hAnsi="Times New Roman" w:cs="Times New Roman"/>
        </w:rPr>
        <w:t xml:space="preserve">than in the authoritarian states. </w:t>
      </w:r>
      <w:r w:rsidR="00A12929">
        <w:rPr>
          <w:rFonts w:ascii="Times New Roman" w:hAnsi="Times New Roman" w:cs="Times New Roman"/>
        </w:rPr>
        <w:t xml:space="preserve">Women’s SMOs are most likely to succeed in Germany and the United States, </w:t>
      </w:r>
      <w:r w:rsidR="00874A83">
        <w:rPr>
          <w:rFonts w:ascii="Times New Roman" w:hAnsi="Times New Roman" w:cs="Times New Roman"/>
        </w:rPr>
        <w:t xml:space="preserve">have </w:t>
      </w:r>
      <w:r w:rsidR="00A146AA">
        <w:rPr>
          <w:rFonts w:ascii="Times New Roman" w:hAnsi="Times New Roman" w:cs="Times New Roman"/>
        </w:rPr>
        <w:t xml:space="preserve">less of likelihood of success in </w:t>
      </w:r>
      <w:r w:rsidR="00874A83">
        <w:rPr>
          <w:rFonts w:ascii="Times New Roman" w:hAnsi="Times New Roman" w:cs="Times New Roman"/>
        </w:rPr>
        <w:t xml:space="preserve">India and </w:t>
      </w:r>
      <w:r w:rsidR="00A146AA">
        <w:rPr>
          <w:rFonts w:ascii="Times New Roman" w:hAnsi="Times New Roman" w:cs="Times New Roman"/>
        </w:rPr>
        <w:t xml:space="preserve">Myanmar, </w:t>
      </w:r>
      <w:r w:rsidR="00A12929">
        <w:rPr>
          <w:rFonts w:ascii="Times New Roman" w:hAnsi="Times New Roman" w:cs="Times New Roman"/>
        </w:rPr>
        <w:t>and are least likely to succeed in China and Russia.</w:t>
      </w:r>
      <w:r w:rsidR="00874A83">
        <w:rPr>
          <w:rFonts w:ascii="Times New Roman" w:hAnsi="Times New Roman" w:cs="Times New Roman"/>
        </w:rPr>
        <w:t xml:space="preserve"> </w:t>
      </w:r>
      <w:r w:rsidR="00A12929">
        <w:rPr>
          <w:rFonts w:ascii="Times New Roman" w:hAnsi="Times New Roman" w:cs="Times New Roman"/>
        </w:rPr>
        <w:t xml:space="preserve"> </w:t>
      </w:r>
    </w:p>
    <w:p w14:paraId="27969D92" w14:textId="77777777" w:rsidR="00ED3B25" w:rsidRDefault="00ED3B25" w:rsidP="00ED3B25">
      <w:pPr>
        <w:spacing w:line="480" w:lineRule="auto"/>
        <w:ind w:firstLine="720"/>
        <w:jc w:val="both"/>
        <w:rPr>
          <w:rFonts w:ascii="Times New Roman" w:hAnsi="Times New Roman" w:cs="Times New Roman"/>
        </w:rPr>
      </w:pPr>
    </w:p>
    <w:p w14:paraId="4EDC1695" w14:textId="1710C40C" w:rsidR="008E16DD" w:rsidRDefault="005A0458" w:rsidP="00ED3B25">
      <w:pPr>
        <w:spacing w:line="480" w:lineRule="auto"/>
        <w:ind w:firstLine="720"/>
        <w:jc w:val="both"/>
        <w:rPr>
          <w:rFonts w:ascii="Times New Roman" w:hAnsi="Times New Roman" w:cs="Times New Roman"/>
        </w:rPr>
      </w:pPr>
      <w:r>
        <w:rPr>
          <w:rFonts w:ascii="Times New Roman" w:hAnsi="Times New Roman" w:cs="Times New Roman"/>
        </w:rPr>
        <w:t>Women’s groups will be more successful in achieving their goals in liberal states where 1) basic liberties, such as freedom of assembly and expression, are respected and 2) where the government is responsive to collective action performed by SMOs. Movements that have adapted to professionalism and have shaped themselves into institutional social movements</w:t>
      </w:r>
      <w:r w:rsidR="00C56D26">
        <w:rPr>
          <w:rFonts w:ascii="Times New Roman" w:hAnsi="Times New Roman" w:cs="Times New Roman"/>
        </w:rPr>
        <w:t xml:space="preserve"> are more likely to succeed (Kohli, 243).</w:t>
      </w:r>
      <w:r>
        <w:rPr>
          <w:rFonts w:ascii="Times New Roman" w:hAnsi="Times New Roman" w:cs="Times New Roman"/>
        </w:rPr>
        <w:t xml:space="preserve"> The Social Progress Imperative Index reflects</w:t>
      </w:r>
      <w:r w:rsidR="00C56D26">
        <w:rPr>
          <w:rFonts w:ascii="Times New Roman" w:hAnsi="Times New Roman" w:cs="Times New Roman"/>
        </w:rPr>
        <w:t xml:space="preserve"> the key focus on liberal values and liberties</w:t>
      </w:r>
      <w:r w:rsidR="0000451B">
        <w:rPr>
          <w:rFonts w:ascii="Times New Roman" w:hAnsi="Times New Roman" w:cs="Times New Roman"/>
        </w:rPr>
        <w:t xml:space="preserve"> (</w:t>
      </w:r>
      <w:r w:rsidR="00367322">
        <w:rPr>
          <w:rFonts w:ascii="Times New Roman" w:hAnsi="Times New Roman" w:cs="Times New Roman"/>
        </w:rPr>
        <w:t xml:space="preserve">see </w:t>
      </w:r>
      <w:r w:rsidR="0000451B">
        <w:rPr>
          <w:rFonts w:ascii="Times New Roman" w:hAnsi="Times New Roman" w:cs="Times New Roman"/>
        </w:rPr>
        <w:t>Fig. 3</w:t>
      </w:r>
      <w:r w:rsidR="004B5A69">
        <w:rPr>
          <w:rFonts w:ascii="Times New Roman" w:hAnsi="Times New Roman" w:cs="Times New Roman"/>
        </w:rPr>
        <w:t>)</w:t>
      </w:r>
      <w:r w:rsidR="00C56D26">
        <w:rPr>
          <w:rFonts w:ascii="Times New Roman" w:hAnsi="Times New Roman" w:cs="Times New Roman"/>
        </w:rPr>
        <w:t xml:space="preserve">, and the benefit of government responsiveness, especially for women’s movements, is shown </w:t>
      </w:r>
      <w:r w:rsidR="004B5A69">
        <w:rPr>
          <w:rFonts w:ascii="Times New Roman" w:hAnsi="Times New Roman" w:cs="Times New Roman"/>
        </w:rPr>
        <w:t>in Social Movements and Targets (</w:t>
      </w:r>
      <w:r w:rsidR="00367322">
        <w:rPr>
          <w:rFonts w:ascii="Times New Roman" w:hAnsi="Times New Roman" w:cs="Times New Roman"/>
        </w:rPr>
        <w:t xml:space="preserve">see </w:t>
      </w:r>
      <w:r w:rsidR="004B5A69">
        <w:rPr>
          <w:rFonts w:ascii="Times New Roman" w:hAnsi="Times New Roman" w:cs="Times New Roman"/>
        </w:rPr>
        <w:t>Fig.</w:t>
      </w:r>
      <w:r w:rsidR="0000451B">
        <w:rPr>
          <w:rFonts w:ascii="Times New Roman" w:hAnsi="Times New Roman" w:cs="Times New Roman"/>
        </w:rPr>
        <w:t xml:space="preserve"> 4</w:t>
      </w:r>
      <w:r w:rsidR="004B5A69">
        <w:rPr>
          <w:rFonts w:ascii="Times New Roman" w:hAnsi="Times New Roman" w:cs="Times New Roman"/>
        </w:rPr>
        <w:t>):</w:t>
      </w:r>
    </w:p>
    <w:p w14:paraId="27C0FB11" w14:textId="77777777" w:rsidR="004B5A69" w:rsidRDefault="004B5A69" w:rsidP="00ED3B25">
      <w:pPr>
        <w:spacing w:line="480" w:lineRule="auto"/>
        <w:jc w:val="both"/>
        <w:rPr>
          <w:rFonts w:ascii="Times New Roman" w:hAnsi="Times New Roman" w:cs="Times New Roman"/>
        </w:rPr>
      </w:pPr>
    </w:p>
    <w:p w14:paraId="1B2D05BB" w14:textId="32FDFF7D" w:rsidR="004B5A69" w:rsidRPr="004B5A69" w:rsidRDefault="004B5A69" w:rsidP="00ED3B25">
      <w:pPr>
        <w:pStyle w:val="Caption"/>
        <w:keepNext/>
        <w:spacing w:line="480" w:lineRule="auto"/>
        <w:jc w:val="both"/>
        <w:rPr>
          <w:rFonts w:ascii="Times New Roman" w:hAnsi="Times New Roman" w:cs="Times New Roman"/>
          <w:color w:val="auto"/>
        </w:rPr>
      </w:pPr>
      <w:r w:rsidRPr="004B5A69">
        <w:rPr>
          <w:rFonts w:ascii="Times New Roman" w:hAnsi="Times New Roman" w:cs="Times New Roman"/>
          <w:color w:val="auto"/>
        </w:rPr>
        <w:t xml:space="preserve">Figure </w:t>
      </w:r>
      <w:r w:rsidR="00367322">
        <w:rPr>
          <w:rFonts w:ascii="Times New Roman" w:hAnsi="Times New Roman" w:cs="Times New Roman"/>
          <w:color w:val="auto"/>
        </w:rPr>
        <w:fldChar w:fldCharType="begin"/>
      </w:r>
      <w:r w:rsidR="00367322">
        <w:rPr>
          <w:rFonts w:ascii="Times New Roman" w:hAnsi="Times New Roman" w:cs="Times New Roman"/>
          <w:color w:val="auto"/>
        </w:rPr>
        <w:instrText xml:space="preserve"> SEQ Figure \* ARABIC </w:instrText>
      </w:r>
      <w:r w:rsidR="00367322">
        <w:rPr>
          <w:rFonts w:ascii="Times New Roman" w:hAnsi="Times New Roman" w:cs="Times New Roman"/>
          <w:color w:val="auto"/>
        </w:rPr>
        <w:fldChar w:fldCharType="separate"/>
      </w:r>
      <w:r w:rsidR="005E1663">
        <w:rPr>
          <w:rFonts w:ascii="Times New Roman" w:hAnsi="Times New Roman" w:cs="Times New Roman"/>
          <w:noProof/>
          <w:color w:val="auto"/>
        </w:rPr>
        <w:t>2</w:t>
      </w:r>
      <w:r w:rsidR="00367322">
        <w:rPr>
          <w:rFonts w:ascii="Times New Roman" w:hAnsi="Times New Roman" w:cs="Times New Roman"/>
          <w:color w:val="auto"/>
        </w:rPr>
        <w:fldChar w:fldCharType="end"/>
      </w:r>
    </w:p>
    <w:p w14:paraId="4E9C7455" w14:textId="77777777" w:rsidR="005E1663" w:rsidRDefault="004B5A69" w:rsidP="005E1663">
      <w:pPr>
        <w:keepNext/>
        <w:spacing w:line="480" w:lineRule="auto"/>
        <w:jc w:val="both"/>
      </w:pPr>
      <w:r>
        <w:rPr>
          <w:rFonts w:ascii="Times New Roman" w:hAnsi="Times New Roman" w:cs="Times New Roman"/>
          <w:noProof/>
        </w:rPr>
        <w:drawing>
          <wp:inline distT="0" distB="0" distL="0" distR="0" wp14:anchorId="5F5085B9" wp14:editId="672E79B0">
            <wp:extent cx="5486400" cy="517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4 at 1.19.20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5175250"/>
                    </a:xfrm>
                    <a:prstGeom prst="rect">
                      <a:avLst/>
                    </a:prstGeom>
                  </pic:spPr>
                </pic:pic>
              </a:graphicData>
            </a:graphic>
          </wp:inline>
        </w:drawing>
      </w:r>
    </w:p>
    <w:p w14:paraId="316C9491" w14:textId="7420BEBF" w:rsidR="004B5A69" w:rsidRPr="005E1663" w:rsidRDefault="005E1663" w:rsidP="005E1663">
      <w:pPr>
        <w:pStyle w:val="Caption"/>
        <w:jc w:val="both"/>
        <w:rPr>
          <w:rFonts w:ascii="Times New Roman" w:hAnsi="Times New Roman" w:cs="Times New Roman"/>
          <w:color w:val="auto"/>
        </w:rPr>
      </w:pPr>
      <w:r>
        <w:rPr>
          <w:rFonts w:ascii="Times New Roman" w:hAnsi="Times New Roman" w:cs="Times New Roman"/>
          <w:color w:val="auto"/>
        </w:rPr>
        <w:t xml:space="preserve">Source: India, China, Russia, United States, Germany comparison chart, Opportunity Dimension. </w:t>
      </w:r>
      <w:r>
        <w:rPr>
          <w:rFonts w:ascii="Times New Roman" w:hAnsi="Times New Roman" w:cs="Times New Roman"/>
          <w:i/>
          <w:color w:val="auto"/>
        </w:rPr>
        <w:t xml:space="preserve">Social Progress Index. </w:t>
      </w:r>
      <w:r>
        <w:rPr>
          <w:rFonts w:ascii="Times New Roman" w:hAnsi="Times New Roman" w:cs="Times New Roman"/>
          <w:color w:val="auto"/>
        </w:rPr>
        <w:t>Apr 2014, Web, Data Table.</w:t>
      </w:r>
    </w:p>
    <w:p w14:paraId="2D8C4CE7" w14:textId="77777777" w:rsidR="004B5A69" w:rsidRDefault="004B5A69" w:rsidP="00ED3B25">
      <w:pPr>
        <w:spacing w:line="480" w:lineRule="auto"/>
        <w:jc w:val="both"/>
        <w:rPr>
          <w:rFonts w:ascii="Times New Roman" w:hAnsi="Times New Roman" w:cs="Times New Roman"/>
        </w:rPr>
      </w:pPr>
    </w:p>
    <w:p w14:paraId="7A6F05AB" w14:textId="77777777" w:rsidR="004B5A69" w:rsidRDefault="004B5A69" w:rsidP="00ED3B25">
      <w:pPr>
        <w:spacing w:line="480" w:lineRule="auto"/>
        <w:jc w:val="both"/>
        <w:rPr>
          <w:rFonts w:ascii="Times New Roman" w:hAnsi="Times New Roman" w:cs="Times New Roman"/>
        </w:rPr>
      </w:pPr>
    </w:p>
    <w:p w14:paraId="10396377" w14:textId="77777777" w:rsidR="004B5A69" w:rsidRDefault="004B5A69" w:rsidP="00ED3B25">
      <w:pPr>
        <w:spacing w:line="480" w:lineRule="auto"/>
        <w:jc w:val="both"/>
        <w:rPr>
          <w:rFonts w:ascii="Times New Roman" w:hAnsi="Times New Roman" w:cs="Times New Roman"/>
        </w:rPr>
      </w:pPr>
    </w:p>
    <w:p w14:paraId="232E5603" w14:textId="08B5B3B5" w:rsidR="004B5A69" w:rsidRPr="004B5A69" w:rsidRDefault="004B5A69" w:rsidP="00ED3B25">
      <w:pPr>
        <w:pStyle w:val="Caption"/>
        <w:keepNext/>
        <w:spacing w:line="480" w:lineRule="auto"/>
        <w:jc w:val="both"/>
        <w:rPr>
          <w:rFonts w:ascii="Times New Roman" w:hAnsi="Times New Roman" w:cs="Times New Roman"/>
          <w:color w:val="auto"/>
        </w:rPr>
      </w:pPr>
      <w:r w:rsidRPr="004B5A69">
        <w:rPr>
          <w:rFonts w:ascii="Times New Roman" w:hAnsi="Times New Roman" w:cs="Times New Roman"/>
          <w:color w:val="auto"/>
        </w:rPr>
        <w:t xml:space="preserve">Figure </w:t>
      </w:r>
      <w:r w:rsidR="00367322">
        <w:rPr>
          <w:rFonts w:ascii="Times New Roman" w:hAnsi="Times New Roman" w:cs="Times New Roman"/>
          <w:color w:val="auto"/>
        </w:rPr>
        <w:fldChar w:fldCharType="begin"/>
      </w:r>
      <w:r w:rsidR="00367322">
        <w:rPr>
          <w:rFonts w:ascii="Times New Roman" w:hAnsi="Times New Roman" w:cs="Times New Roman"/>
          <w:color w:val="auto"/>
        </w:rPr>
        <w:instrText xml:space="preserve"> SEQ Figure \* ARABIC </w:instrText>
      </w:r>
      <w:r w:rsidR="00367322">
        <w:rPr>
          <w:rFonts w:ascii="Times New Roman" w:hAnsi="Times New Roman" w:cs="Times New Roman"/>
          <w:color w:val="auto"/>
        </w:rPr>
        <w:fldChar w:fldCharType="separate"/>
      </w:r>
      <w:r w:rsidR="005E1663">
        <w:rPr>
          <w:rFonts w:ascii="Times New Roman" w:hAnsi="Times New Roman" w:cs="Times New Roman"/>
          <w:noProof/>
          <w:color w:val="auto"/>
        </w:rPr>
        <w:t>3</w:t>
      </w:r>
      <w:r w:rsidR="00367322">
        <w:rPr>
          <w:rFonts w:ascii="Times New Roman" w:hAnsi="Times New Roman" w:cs="Times New Roman"/>
          <w:color w:val="auto"/>
        </w:rPr>
        <w:fldChar w:fldCharType="end"/>
      </w:r>
    </w:p>
    <w:p w14:paraId="232ADC6C" w14:textId="77777777" w:rsidR="005E1663" w:rsidRDefault="00C56D26" w:rsidP="005E1663">
      <w:pPr>
        <w:keepNext/>
        <w:spacing w:line="480" w:lineRule="auto"/>
      </w:pPr>
      <w:r w:rsidRPr="00C56D26">
        <w:rPr>
          <w:rFonts w:ascii="Times New Roman" w:hAnsi="Times New Roman" w:cs="Times New Roman"/>
        </w:rPr>
        <w:drawing>
          <wp:inline distT="0" distB="0" distL="0" distR="0" wp14:anchorId="056F6875" wp14:editId="01BF1822">
            <wp:extent cx="5486400" cy="321246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a:stretch>
                      <a:fillRect/>
                    </a:stretch>
                  </pic:blipFill>
                  <pic:spPr bwMode="auto">
                    <a:xfrm>
                      <a:off x="0" y="0"/>
                      <a:ext cx="5486400" cy="3212465"/>
                    </a:xfrm>
                    <a:prstGeom prst="rect">
                      <a:avLst/>
                    </a:prstGeom>
                    <a:noFill/>
                    <a:ln w="9525">
                      <a:noFill/>
                      <a:miter lim="800000"/>
                      <a:headEnd/>
                      <a:tailEnd/>
                    </a:ln>
                  </pic:spPr>
                </pic:pic>
              </a:graphicData>
            </a:graphic>
          </wp:inline>
        </w:drawing>
      </w:r>
    </w:p>
    <w:p w14:paraId="476E3614" w14:textId="294B6682" w:rsidR="00C56D26" w:rsidRPr="005E1663" w:rsidRDefault="005E1663" w:rsidP="005E1663">
      <w:pPr>
        <w:pStyle w:val="Caption"/>
        <w:rPr>
          <w:rFonts w:ascii="Times New Roman" w:hAnsi="Times New Roman" w:cs="Times New Roman"/>
          <w:color w:val="auto"/>
        </w:rPr>
      </w:pPr>
      <w:r>
        <w:rPr>
          <w:rFonts w:ascii="Times New Roman" w:hAnsi="Times New Roman" w:cs="Times New Roman"/>
          <w:color w:val="auto"/>
        </w:rPr>
        <w:t xml:space="preserve">Source: Social Movements and Targets, </w:t>
      </w:r>
      <w:r w:rsidRPr="005E1663">
        <w:rPr>
          <w:rFonts w:ascii="Times New Roman" w:hAnsi="Times New Roman" w:cs="Times New Roman"/>
          <w:i/>
          <w:color w:val="auto"/>
        </w:rPr>
        <w:t>Interest Groups and Social Groups II</w:t>
      </w:r>
      <w:r>
        <w:rPr>
          <w:rFonts w:ascii="Times New Roman" w:hAnsi="Times New Roman" w:cs="Times New Roman"/>
          <w:i/>
          <w:color w:val="auto"/>
        </w:rPr>
        <w:t>.</w:t>
      </w:r>
      <w:r>
        <w:rPr>
          <w:rFonts w:ascii="Times New Roman" w:hAnsi="Times New Roman" w:cs="Times New Roman"/>
          <w:color w:val="auto"/>
        </w:rPr>
        <w:t xml:space="preserve"> Apr 2014. Powerpoint. Table 3.</w:t>
      </w:r>
    </w:p>
    <w:sectPr w:rsidR="00C56D26" w:rsidRPr="005E1663" w:rsidSect="00ED3B25">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49F4" w14:textId="77777777" w:rsidR="00634AA9" w:rsidRDefault="00634AA9" w:rsidP="00ED3B25">
      <w:r>
        <w:separator/>
      </w:r>
    </w:p>
  </w:endnote>
  <w:endnote w:type="continuationSeparator" w:id="0">
    <w:p w14:paraId="34334A68" w14:textId="77777777" w:rsidR="00634AA9" w:rsidRDefault="00634AA9" w:rsidP="00ED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6C22" w14:textId="77777777" w:rsidR="00634AA9" w:rsidRDefault="00634AA9" w:rsidP="00367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986DB" w14:textId="77777777" w:rsidR="00634AA9" w:rsidRDefault="00634AA9" w:rsidP="00ED3B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672D" w14:textId="77777777" w:rsidR="00634AA9" w:rsidRDefault="00634AA9" w:rsidP="00367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033">
      <w:rPr>
        <w:rStyle w:val="PageNumber"/>
        <w:noProof/>
      </w:rPr>
      <w:t>1</w:t>
    </w:r>
    <w:r>
      <w:rPr>
        <w:rStyle w:val="PageNumber"/>
      </w:rPr>
      <w:fldChar w:fldCharType="end"/>
    </w:r>
  </w:p>
  <w:p w14:paraId="353A547F" w14:textId="77777777" w:rsidR="00634AA9" w:rsidRDefault="00634AA9" w:rsidP="00ED3B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BDA5" w14:textId="77777777" w:rsidR="00634AA9" w:rsidRDefault="00634AA9" w:rsidP="00ED3B25">
      <w:r>
        <w:separator/>
      </w:r>
    </w:p>
  </w:footnote>
  <w:footnote w:type="continuationSeparator" w:id="0">
    <w:p w14:paraId="0660DE84" w14:textId="77777777" w:rsidR="00634AA9" w:rsidRDefault="00634AA9" w:rsidP="00ED3B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594A" w14:textId="77777777" w:rsidR="00634AA9" w:rsidRDefault="00634AA9">
    <w:pPr>
      <w:pStyle w:val="Header"/>
    </w:pPr>
    <w:sdt>
      <w:sdtPr>
        <w:id w:val="171999623"/>
        <w:placeholder>
          <w:docPart w:val="75F00C4332AA9E4FBA468512D1817B62"/>
        </w:placeholder>
        <w:temporary/>
        <w:showingPlcHdr/>
      </w:sdtPr>
      <w:sdtContent>
        <w:r>
          <w:t>[Type text]</w:t>
        </w:r>
      </w:sdtContent>
    </w:sdt>
    <w:r>
      <w:ptab w:relativeTo="margin" w:alignment="center" w:leader="none"/>
    </w:r>
    <w:sdt>
      <w:sdtPr>
        <w:id w:val="171999624"/>
        <w:placeholder>
          <w:docPart w:val="E419B4A02517F14F937CA45DB42AAAC8"/>
        </w:placeholder>
        <w:temporary/>
        <w:showingPlcHdr/>
      </w:sdtPr>
      <w:sdtContent>
        <w:r>
          <w:t>[Type text]</w:t>
        </w:r>
      </w:sdtContent>
    </w:sdt>
    <w:r>
      <w:ptab w:relativeTo="margin" w:alignment="right" w:leader="none"/>
    </w:r>
    <w:sdt>
      <w:sdtPr>
        <w:id w:val="171999625"/>
        <w:placeholder>
          <w:docPart w:val="1F12ABFD6DF5064DAD3519AF1863C309"/>
        </w:placeholder>
        <w:temporary/>
        <w:showingPlcHdr/>
      </w:sdtPr>
      <w:sdtContent>
        <w:r>
          <w:t>[Type text]</w:t>
        </w:r>
      </w:sdtContent>
    </w:sdt>
  </w:p>
  <w:p w14:paraId="676E2021" w14:textId="77777777" w:rsidR="00634AA9" w:rsidRDefault="00634A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2443" w14:textId="1D60856B" w:rsidR="00634AA9" w:rsidRDefault="00634AA9">
    <w:pPr>
      <w:pStyle w:val="Header"/>
      <w:rPr>
        <w:rFonts w:ascii="Times New Roman" w:hAnsi="Times New Roman" w:cs="Times New Roman"/>
      </w:rPr>
    </w:pPr>
    <w:r>
      <w:ptab w:relativeTo="margin" w:alignment="center" w:leader="none"/>
    </w:r>
    <w:r>
      <w:ptab w:relativeTo="margin" w:alignment="right" w:leader="none"/>
    </w:r>
    <w:r>
      <w:rPr>
        <w:rFonts w:ascii="Times New Roman" w:hAnsi="Times New Roman" w:cs="Times New Roman"/>
      </w:rPr>
      <w:t>Mhairi Terra</w:t>
    </w:r>
  </w:p>
  <w:p w14:paraId="1AEB0961" w14:textId="5F0FD08C" w:rsidR="00634AA9" w:rsidRDefault="00634AA9" w:rsidP="00ED3B25">
    <w:pPr>
      <w:pStyle w:val="Header"/>
      <w:jc w:val="right"/>
      <w:rPr>
        <w:rFonts w:ascii="Times New Roman" w:hAnsi="Times New Roman" w:cs="Times New Roman"/>
      </w:rPr>
    </w:pPr>
    <w:r>
      <w:rPr>
        <w:rFonts w:ascii="Times New Roman" w:hAnsi="Times New Roman" w:cs="Times New Roman"/>
      </w:rPr>
      <w:t>IS 230-02</w:t>
    </w:r>
  </w:p>
  <w:p w14:paraId="7CC06B97" w14:textId="7CEC6CCC" w:rsidR="00634AA9" w:rsidRPr="00ED3B25" w:rsidRDefault="00634AA9" w:rsidP="00ED3B25">
    <w:pPr>
      <w:pStyle w:val="Header"/>
      <w:jc w:val="right"/>
      <w:rPr>
        <w:rFonts w:ascii="Times New Roman" w:hAnsi="Times New Roman" w:cs="Times New Roman"/>
      </w:rPr>
    </w:pPr>
    <w:r>
      <w:rPr>
        <w:rFonts w:ascii="Times New Roman" w:hAnsi="Times New Roman" w:cs="Times New Roman"/>
      </w:rPr>
      <w:t>4/24/14</w:t>
    </w:r>
  </w:p>
  <w:p w14:paraId="7AD6336A" w14:textId="77777777" w:rsidR="00634AA9" w:rsidRDefault="00634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3C"/>
    <w:rsid w:val="0000451B"/>
    <w:rsid w:val="00151AB7"/>
    <w:rsid w:val="001E26AC"/>
    <w:rsid w:val="001E2FFB"/>
    <w:rsid w:val="00274033"/>
    <w:rsid w:val="0030527A"/>
    <w:rsid w:val="00367322"/>
    <w:rsid w:val="00421189"/>
    <w:rsid w:val="00430F8D"/>
    <w:rsid w:val="004338F6"/>
    <w:rsid w:val="004B5A69"/>
    <w:rsid w:val="004B6CC5"/>
    <w:rsid w:val="005323A2"/>
    <w:rsid w:val="005A0458"/>
    <w:rsid w:val="005E1663"/>
    <w:rsid w:val="00614146"/>
    <w:rsid w:val="00634AA9"/>
    <w:rsid w:val="0068361E"/>
    <w:rsid w:val="00823EF6"/>
    <w:rsid w:val="00874A83"/>
    <w:rsid w:val="00890BC1"/>
    <w:rsid w:val="008A51C4"/>
    <w:rsid w:val="008E16DD"/>
    <w:rsid w:val="008E4870"/>
    <w:rsid w:val="00987BED"/>
    <w:rsid w:val="00A12929"/>
    <w:rsid w:val="00A146AA"/>
    <w:rsid w:val="00A5192C"/>
    <w:rsid w:val="00A92233"/>
    <w:rsid w:val="00AC0B3C"/>
    <w:rsid w:val="00BB2FBA"/>
    <w:rsid w:val="00C56D26"/>
    <w:rsid w:val="00D115A2"/>
    <w:rsid w:val="00D1669D"/>
    <w:rsid w:val="00D30D0A"/>
    <w:rsid w:val="00D902BA"/>
    <w:rsid w:val="00E6757A"/>
    <w:rsid w:val="00ED3B25"/>
    <w:rsid w:val="00F32949"/>
    <w:rsid w:val="00F9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B0C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92C"/>
    <w:rPr>
      <w:color w:val="0000FF" w:themeColor="hyperlink"/>
      <w:u w:val="single"/>
    </w:rPr>
  </w:style>
  <w:style w:type="paragraph" w:styleId="BalloonText">
    <w:name w:val="Balloon Text"/>
    <w:basedOn w:val="Normal"/>
    <w:link w:val="BalloonTextChar"/>
    <w:uiPriority w:val="99"/>
    <w:semiHidden/>
    <w:unhideWhenUsed/>
    <w:rsid w:val="00C56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D26"/>
    <w:rPr>
      <w:rFonts w:ascii="Lucida Grande" w:hAnsi="Lucida Grande" w:cs="Lucida Grande"/>
      <w:sz w:val="18"/>
      <w:szCs w:val="18"/>
    </w:rPr>
  </w:style>
  <w:style w:type="paragraph" w:styleId="Caption">
    <w:name w:val="caption"/>
    <w:basedOn w:val="Normal"/>
    <w:next w:val="Normal"/>
    <w:uiPriority w:val="35"/>
    <w:unhideWhenUsed/>
    <w:qFormat/>
    <w:rsid w:val="004B5A69"/>
    <w:pPr>
      <w:spacing w:after="200"/>
    </w:pPr>
    <w:rPr>
      <w:b/>
      <w:bCs/>
      <w:color w:val="4F81BD" w:themeColor="accent1"/>
      <w:sz w:val="18"/>
      <w:szCs w:val="18"/>
    </w:rPr>
  </w:style>
  <w:style w:type="paragraph" w:styleId="Footer">
    <w:name w:val="footer"/>
    <w:basedOn w:val="Normal"/>
    <w:link w:val="FooterChar"/>
    <w:uiPriority w:val="99"/>
    <w:unhideWhenUsed/>
    <w:rsid w:val="00ED3B25"/>
    <w:pPr>
      <w:tabs>
        <w:tab w:val="center" w:pos="4320"/>
        <w:tab w:val="right" w:pos="8640"/>
      </w:tabs>
    </w:pPr>
  </w:style>
  <w:style w:type="character" w:customStyle="1" w:styleId="FooterChar">
    <w:name w:val="Footer Char"/>
    <w:basedOn w:val="DefaultParagraphFont"/>
    <w:link w:val="Footer"/>
    <w:uiPriority w:val="99"/>
    <w:rsid w:val="00ED3B25"/>
  </w:style>
  <w:style w:type="character" w:styleId="PageNumber">
    <w:name w:val="page number"/>
    <w:basedOn w:val="DefaultParagraphFont"/>
    <w:uiPriority w:val="99"/>
    <w:semiHidden/>
    <w:unhideWhenUsed/>
    <w:rsid w:val="00ED3B25"/>
  </w:style>
  <w:style w:type="paragraph" w:styleId="Header">
    <w:name w:val="header"/>
    <w:basedOn w:val="Normal"/>
    <w:link w:val="HeaderChar"/>
    <w:uiPriority w:val="99"/>
    <w:unhideWhenUsed/>
    <w:rsid w:val="00ED3B25"/>
    <w:pPr>
      <w:tabs>
        <w:tab w:val="center" w:pos="4320"/>
        <w:tab w:val="right" w:pos="8640"/>
      </w:tabs>
    </w:pPr>
  </w:style>
  <w:style w:type="character" w:customStyle="1" w:styleId="HeaderChar">
    <w:name w:val="Header Char"/>
    <w:basedOn w:val="DefaultParagraphFont"/>
    <w:link w:val="Header"/>
    <w:uiPriority w:val="99"/>
    <w:rsid w:val="00ED3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92C"/>
    <w:rPr>
      <w:color w:val="0000FF" w:themeColor="hyperlink"/>
      <w:u w:val="single"/>
    </w:rPr>
  </w:style>
  <w:style w:type="paragraph" w:styleId="BalloonText">
    <w:name w:val="Balloon Text"/>
    <w:basedOn w:val="Normal"/>
    <w:link w:val="BalloonTextChar"/>
    <w:uiPriority w:val="99"/>
    <w:semiHidden/>
    <w:unhideWhenUsed/>
    <w:rsid w:val="00C56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D26"/>
    <w:rPr>
      <w:rFonts w:ascii="Lucida Grande" w:hAnsi="Lucida Grande" w:cs="Lucida Grande"/>
      <w:sz w:val="18"/>
      <w:szCs w:val="18"/>
    </w:rPr>
  </w:style>
  <w:style w:type="paragraph" w:styleId="Caption">
    <w:name w:val="caption"/>
    <w:basedOn w:val="Normal"/>
    <w:next w:val="Normal"/>
    <w:uiPriority w:val="35"/>
    <w:unhideWhenUsed/>
    <w:qFormat/>
    <w:rsid w:val="004B5A69"/>
    <w:pPr>
      <w:spacing w:after="200"/>
    </w:pPr>
    <w:rPr>
      <w:b/>
      <w:bCs/>
      <w:color w:val="4F81BD" w:themeColor="accent1"/>
      <w:sz w:val="18"/>
      <w:szCs w:val="18"/>
    </w:rPr>
  </w:style>
  <w:style w:type="paragraph" w:styleId="Footer">
    <w:name w:val="footer"/>
    <w:basedOn w:val="Normal"/>
    <w:link w:val="FooterChar"/>
    <w:uiPriority w:val="99"/>
    <w:unhideWhenUsed/>
    <w:rsid w:val="00ED3B25"/>
    <w:pPr>
      <w:tabs>
        <w:tab w:val="center" w:pos="4320"/>
        <w:tab w:val="right" w:pos="8640"/>
      </w:tabs>
    </w:pPr>
  </w:style>
  <w:style w:type="character" w:customStyle="1" w:styleId="FooterChar">
    <w:name w:val="Footer Char"/>
    <w:basedOn w:val="DefaultParagraphFont"/>
    <w:link w:val="Footer"/>
    <w:uiPriority w:val="99"/>
    <w:rsid w:val="00ED3B25"/>
  </w:style>
  <w:style w:type="character" w:styleId="PageNumber">
    <w:name w:val="page number"/>
    <w:basedOn w:val="DefaultParagraphFont"/>
    <w:uiPriority w:val="99"/>
    <w:semiHidden/>
    <w:unhideWhenUsed/>
    <w:rsid w:val="00ED3B25"/>
  </w:style>
  <w:style w:type="paragraph" w:styleId="Header">
    <w:name w:val="header"/>
    <w:basedOn w:val="Normal"/>
    <w:link w:val="HeaderChar"/>
    <w:uiPriority w:val="99"/>
    <w:unhideWhenUsed/>
    <w:rsid w:val="00ED3B25"/>
    <w:pPr>
      <w:tabs>
        <w:tab w:val="center" w:pos="4320"/>
        <w:tab w:val="right" w:pos="8640"/>
      </w:tabs>
    </w:pPr>
  </w:style>
  <w:style w:type="character" w:customStyle="1" w:styleId="HeaderChar">
    <w:name w:val="Header Char"/>
    <w:basedOn w:val="DefaultParagraphFont"/>
    <w:link w:val="Header"/>
    <w:uiPriority w:val="99"/>
    <w:rsid w:val="00ED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F00C4332AA9E4FBA468512D1817B62"/>
        <w:category>
          <w:name w:val="General"/>
          <w:gallery w:val="placeholder"/>
        </w:category>
        <w:types>
          <w:type w:val="bbPlcHdr"/>
        </w:types>
        <w:behaviors>
          <w:behavior w:val="content"/>
        </w:behaviors>
        <w:guid w:val="{7320F4CD-4D2B-814E-91CD-58369D9264DD}"/>
      </w:docPartPr>
      <w:docPartBody>
        <w:p w14:paraId="783B1A18" w14:textId="000A1EE5" w:rsidR="00B72155" w:rsidRDefault="00B72155" w:rsidP="00B72155">
          <w:pPr>
            <w:pStyle w:val="75F00C4332AA9E4FBA468512D1817B62"/>
          </w:pPr>
          <w:r>
            <w:t>[Type text]</w:t>
          </w:r>
        </w:p>
      </w:docPartBody>
    </w:docPart>
    <w:docPart>
      <w:docPartPr>
        <w:name w:val="E419B4A02517F14F937CA45DB42AAAC8"/>
        <w:category>
          <w:name w:val="General"/>
          <w:gallery w:val="placeholder"/>
        </w:category>
        <w:types>
          <w:type w:val="bbPlcHdr"/>
        </w:types>
        <w:behaviors>
          <w:behavior w:val="content"/>
        </w:behaviors>
        <w:guid w:val="{B115D4C2-770D-3C4C-8082-715DC0033A4A}"/>
      </w:docPartPr>
      <w:docPartBody>
        <w:p w14:paraId="0F5DA310" w14:textId="2C6D8F64" w:rsidR="00B72155" w:rsidRDefault="00B72155" w:rsidP="00B72155">
          <w:pPr>
            <w:pStyle w:val="E419B4A02517F14F937CA45DB42AAAC8"/>
          </w:pPr>
          <w:r>
            <w:t>[Type text]</w:t>
          </w:r>
        </w:p>
      </w:docPartBody>
    </w:docPart>
    <w:docPart>
      <w:docPartPr>
        <w:name w:val="1F12ABFD6DF5064DAD3519AF1863C309"/>
        <w:category>
          <w:name w:val="General"/>
          <w:gallery w:val="placeholder"/>
        </w:category>
        <w:types>
          <w:type w:val="bbPlcHdr"/>
        </w:types>
        <w:behaviors>
          <w:behavior w:val="content"/>
        </w:behaviors>
        <w:guid w:val="{195F775B-2BC7-9441-8224-376D69EE1D63}"/>
      </w:docPartPr>
      <w:docPartBody>
        <w:p w14:paraId="31F4492D" w14:textId="21BE26A2" w:rsidR="00B72155" w:rsidRDefault="00B72155" w:rsidP="00B72155">
          <w:pPr>
            <w:pStyle w:val="1F12ABFD6DF5064DAD3519AF1863C3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55"/>
    <w:rsid w:val="00B7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00C4332AA9E4FBA468512D1817B62">
    <w:name w:val="75F00C4332AA9E4FBA468512D1817B62"/>
    <w:rsid w:val="00B72155"/>
  </w:style>
  <w:style w:type="paragraph" w:customStyle="1" w:styleId="E419B4A02517F14F937CA45DB42AAAC8">
    <w:name w:val="E419B4A02517F14F937CA45DB42AAAC8"/>
    <w:rsid w:val="00B72155"/>
  </w:style>
  <w:style w:type="paragraph" w:customStyle="1" w:styleId="1F12ABFD6DF5064DAD3519AF1863C309">
    <w:name w:val="1F12ABFD6DF5064DAD3519AF1863C309"/>
    <w:rsid w:val="00B72155"/>
  </w:style>
  <w:style w:type="paragraph" w:customStyle="1" w:styleId="5AFAB3CC9480284CB5B01EE028F1F3BD">
    <w:name w:val="5AFAB3CC9480284CB5B01EE028F1F3BD"/>
    <w:rsid w:val="00B72155"/>
  </w:style>
  <w:style w:type="paragraph" w:customStyle="1" w:styleId="F646E115FE2E094D9DC62A01377D8456">
    <w:name w:val="F646E115FE2E094D9DC62A01377D8456"/>
    <w:rsid w:val="00B72155"/>
  </w:style>
  <w:style w:type="paragraph" w:customStyle="1" w:styleId="31E803835423FC46A3A05FC1EA55FD53">
    <w:name w:val="31E803835423FC46A3A05FC1EA55FD53"/>
    <w:rsid w:val="00B721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00C4332AA9E4FBA468512D1817B62">
    <w:name w:val="75F00C4332AA9E4FBA468512D1817B62"/>
    <w:rsid w:val="00B72155"/>
  </w:style>
  <w:style w:type="paragraph" w:customStyle="1" w:styleId="E419B4A02517F14F937CA45DB42AAAC8">
    <w:name w:val="E419B4A02517F14F937CA45DB42AAAC8"/>
    <w:rsid w:val="00B72155"/>
  </w:style>
  <w:style w:type="paragraph" w:customStyle="1" w:styleId="1F12ABFD6DF5064DAD3519AF1863C309">
    <w:name w:val="1F12ABFD6DF5064DAD3519AF1863C309"/>
    <w:rsid w:val="00B72155"/>
  </w:style>
  <w:style w:type="paragraph" w:customStyle="1" w:styleId="5AFAB3CC9480284CB5B01EE028F1F3BD">
    <w:name w:val="5AFAB3CC9480284CB5B01EE028F1F3BD"/>
    <w:rsid w:val="00B72155"/>
  </w:style>
  <w:style w:type="paragraph" w:customStyle="1" w:styleId="F646E115FE2E094D9DC62A01377D8456">
    <w:name w:val="F646E115FE2E094D9DC62A01377D8456"/>
    <w:rsid w:val="00B72155"/>
  </w:style>
  <w:style w:type="paragraph" w:customStyle="1" w:styleId="31E803835423FC46A3A05FC1EA55FD53">
    <w:name w:val="31E803835423FC46A3A05FC1EA55FD53"/>
    <w:rsid w:val="00B72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F380-7200-794F-9D14-06850287C7CC}">
  <ds:schemaRefs>
    <ds:schemaRef ds:uri="http://schemas.openxmlformats.org/officeDocument/2006/bibliography"/>
  </ds:schemaRefs>
</ds:datastoreItem>
</file>

<file path=customXml/itemProps2.xml><?xml version="1.0" encoding="utf-8"?>
<ds:datastoreItem xmlns:ds="http://schemas.openxmlformats.org/officeDocument/2006/customXml" ds:itemID="{159F5ABB-2988-D64C-A17B-6957B5D3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1177</Words>
  <Characters>6714</Characters>
  <Application>Microsoft Macintosh Word</Application>
  <DocSecurity>0</DocSecurity>
  <Lines>55</Lines>
  <Paragraphs>15</Paragraphs>
  <ScaleCrop>false</ScaleCrop>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Terra</dc:creator>
  <cp:keywords/>
  <dc:description/>
  <cp:lastModifiedBy>Mhairi Terra</cp:lastModifiedBy>
  <cp:revision>1</cp:revision>
  <dcterms:created xsi:type="dcterms:W3CDTF">2014-04-23T00:27:00Z</dcterms:created>
  <dcterms:modified xsi:type="dcterms:W3CDTF">2014-04-28T20:53:00Z</dcterms:modified>
</cp:coreProperties>
</file>